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D7879D-BFA2-48B4-8397-A7AA68809DFD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